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EF" w:rsidRPr="00EB68EF" w:rsidRDefault="00EB68EF" w:rsidP="00EB68EF">
      <w:pPr>
        <w:pStyle w:val="a3"/>
        <w:spacing w:before="0" w:beforeAutospacing="0" w:after="0" w:afterAutospacing="0" w:line="288" w:lineRule="atLeast"/>
        <w:ind w:firstLine="540"/>
        <w:jc w:val="center"/>
        <w:rPr>
          <w:b/>
          <w:u w:val="single"/>
        </w:rPr>
      </w:pPr>
      <w:bookmarkStart w:id="0" w:name="_GoBack"/>
      <w:bookmarkEnd w:id="0"/>
      <w:r w:rsidRPr="00EB68EF">
        <w:rPr>
          <w:b/>
          <w:u w:val="single"/>
        </w:rPr>
        <w:t>О порядке оказания медицинской помощи</w:t>
      </w:r>
    </w:p>
    <w:p w:rsidR="00EB68EF" w:rsidRPr="00EB68EF" w:rsidRDefault="00EB68EF" w:rsidP="00EB68EF">
      <w:pPr>
        <w:pStyle w:val="a3"/>
        <w:spacing w:before="0" w:beforeAutospacing="0" w:after="0" w:afterAutospacing="0" w:line="288" w:lineRule="atLeast"/>
        <w:ind w:firstLine="540"/>
        <w:jc w:val="center"/>
        <w:rPr>
          <w:b/>
          <w:u w:val="single"/>
        </w:rPr>
      </w:pPr>
      <w:r w:rsidRPr="00EB68EF">
        <w:rPr>
          <w:b/>
          <w:u w:val="single"/>
        </w:rPr>
        <w:t xml:space="preserve">в соответствии с программой </w:t>
      </w:r>
      <w:r w:rsidRPr="00EB68EF">
        <w:rPr>
          <w:b/>
          <w:u w:val="single"/>
        </w:rPr>
        <w:t>государственных гарантий</w:t>
      </w:r>
    </w:p>
    <w:p w:rsidR="00EB68EF" w:rsidRPr="00EB68EF" w:rsidRDefault="00EB68EF" w:rsidP="00EB68EF">
      <w:pPr>
        <w:pStyle w:val="a3"/>
        <w:spacing w:before="0" w:beforeAutospacing="0" w:after="0" w:afterAutospacing="0" w:line="288" w:lineRule="atLeast"/>
        <w:ind w:firstLine="540"/>
        <w:jc w:val="center"/>
        <w:rPr>
          <w:b/>
          <w:u w:val="single"/>
        </w:rPr>
      </w:pPr>
      <w:r w:rsidRPr="00EB68EF">
        <w:rPr>
          <w:b/>
          <w:u w:val="single"/>
        </w:rPr>
        <w:t>бесплатного оказания гражданам медицинской помощи</w:t>
      </w:r>
    </w:p>
    <w:p w:rsidR="00EB68EF" w:rsidRDefault="00EB68EF" w:rsidP="00EB68EF">
      <w:pPr>
        <w:pStyle w:val="a3"/>
        <w:spacing w:before="0" w:beforeAutospacing="0" w:after="0" w:afterAutospacing="0" w:line="288" w:lineRule="atLeast"/>
        <w:ind w:firstLine="540"/>
        <w:jc w:val="both"/>
      </w:pPr>
    </w:p>
    <w:p w:rsidR="00EB68EF" w:rsidRDefault="00EB68EF" w:rsidP="00EB68EF">
      <w:pPr>
        <w:pStyle w:val="a3"/>
        <w:spacing w:before="0" w:beforeAutospacing="0" w:after="0" w:afterAutospacing="0" w:line="288" w:lineRule="atLeast"/>
        <w:jc w:val="both"/>
      </w:pPr>
      <w:r>
        <w:t>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на основе стандартов медицинской помощи,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r>
        <w:t xml:space="preserve"> установлен </w:t>
      </w:r>
      <w:r>
        <w:t>Территориальн</w:t>
      </w:r>
      <w:r>
        <w:t>ой программой</w:t>
      </w:r>
      <w:r>
        <w:t xml:space="preserve"> государственных гарантий бесплатного оказания гражданам медицинской помощи в городе Москве на 2024 год и на плановый период 2025 и 2026 годов</w:t>
      </w:r>
      <w:r>
        <w:t xml:space="preserve">, утвержденной </w:t>
      </w:r>
      <w:r>
        <w:t>Постановление</w:t>
      </w:r>
      <w:r>
        <w:t>м</w:t>
      </w:r>
      <w:r>
        <w:t xml:space="preserve"> Правительства Москвы от 28.12.2023 N 2691-ПП</w:t>
      </w:r>
      <w:r>
        <w:t>.</w:t>
      </w:r>
    </w:p>
    <w:p w:rsidR="00EB68EF" w:rsidRDefault="00EB68EF" w:rsidP="00EB68EF">
      <w:pPr>
        <w:pStyle w:val="a3"/>
        <w:spacing w:before="0" w:beforeAutospacing="0" w:after="0" w:afterAutospacing="0" w:line="288" w:lineRule="atLeast"/>
        <w:ind w:firstLine="540"/>
        <w:jc w:val="both"/>
      </w:pPr>
      <w:r>
        <w:t>Территориальная программа сформирована в соответствии с порядками оказания медицинской помощи, на основе клинических рекомендаций и с учетом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обеспечена сбалансированность объема медицинской помощи и ее финансового обеспечения.</w:t>
      </w:r>
    </w:p>
    <w:p w:rsidR="00EB68EF" w:rsidRDefault="00EB68EF" w:rsidP="00EB68EF">
      <w:pPr>
        <w:pStyle w:val="a3"/>
        <w:spacing w:before="0" w:beforeAutospacing="0" w:after="0" w:afterAutospacing="0" w:line="288" w:lineRule="atLeast"/>
        <w:ind w:firstLine="540"/>
        <w:jc w:val="both"/>
      </w:pPr>
    </w:p>
    <w:p w:rsidR="0001538A" w:rsidRPr="001F207D" w:rsidRDefault="00EB68EF" w:rsidP="001F207D">
      <w:pPr>
        <w:pStyle w:val="a3"/>
        <w:spacing w:before="0" w:beforeAutospacing="0" w:after="0" w:afterAutospacing="0" w:line="288" w:lineRule="atLeast"/>
        <w:ind w:firstLine="540"/>
        <w:jc w:val="both"/>
      </w:pPr>
      <w:r w:rsidRPr="001F207D">
        <w:rPr>
          <w:color w:val="000000"/>
        </w:rPr>
        <w:t>В соответствии</w:t>
      </w:r>
      <w:r w:rsidRPr="001F207D">
        <w:rPr>
          <w:color w:val="000000"/>
        </w:rPr>
        <w:t xml:space="preserve"> со ст. 37 </w:t>
      </w:r>
      <w:r w:rsidRPr="001F207D">
        <w:t>Федеральн</w:t>
      </w:r>
      <w:r w:rsidRPr="001F207D">
        <w:t>ого</w:t>
      </w:r>
      <w:r w:rsidRPr="001F207D">
        <w:t xml:space="preserve"> закон</w:t>
      </w:r>
      <w:r w:rsidRPr="001F207D">
        <w:t>а</w:t>
      </w:r>
      <w:r w:rsidRPr="001F207D">
        <w:t xml:space="preserve"> от 21.11.2011 N 323-ФЗ</w:t>
      </w:r>
      <w:r w:rsidRPr="001F207D">
        <w:t xml:space="preserve"> </w:t>
      </w:r>
      <w:r w:rsidRPr="001F207D">
        <w:t>"Об основах охраны здоровья граждан в Российской Федерации"</w:t>
      </w:r>
      <w:r w:rsidRPr="001F207D">
        <w:t xml:space="preserve"> м</w:t>
      </w:r>
      <w:r w:rsidR="0001538A" w:rsidRPr="001F207D">
        <w:t>едицинская помощь, за исключением медицинской помощи, оказываемой в рамках клинической апробации, организуется и оказывается:</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3) на основе клинических рекомендаций;</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4) с учетом стандартов медицинской помощи, утверждаемых уполномоченным федеральным органом исполнительной власти.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1) этапы оказания медицинской помощи;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2) правила организации деятельности медицинской организации (ее структурного подразделения, врача);</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3) стандарт оснащения медицинской организации, ее структурных подразделений;</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4) рекомендуемые штатные нормативы медицинской организации, ее структурных подразделений;</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5) иные положения исходя из особенностей оказания медицинской помощи.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lastRenderedPageBreak/>
        <w:t>Клинические рекомендации разрабатываются медицинскими профессиона</w:t>
      </w:r>
      <w:r w:rsidR="00EB68EF" w:rsidRPr="001F207D">
        <w:rPr>
          <w:rFonts w:ascii="Times New Roman" w:hAnsi="Times New Roman" w:cs="Times New Roman"/>
          <w:sz w:val="24"/>
          <w:szCs w:val="24"/>
        </w:rPr>
        <w:t>л</w:t>
      </w:r>
      <w:r w:rsidRPr="001F207D">
        <w:rPr>
          <w:rFonts w:ascii="Times New Roman" w:hAnsi="Times New Roman" w:cs="Times New Roman"/>
          <w:sz w:val="24"/>
          <w:szCs w:val="24"/>
        </w:rPr>
        <w:t>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Клинические рекомендации пересматриваются не реже одного раза в три года.</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lastRenderedPageBreak/>
        <w:t>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1) медицинских услуг, включенных в номенклатуру медицинских услуг;</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3) медицинских изделий, имплантируемых в организм человека;</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4) компонентов крови;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5) видов лечебного питания, включая специализированные продукты лечебного питания;</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6) иного исходя из особенностей заболевания (состояния).</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w:t>
      </w:r>
      <w:r w:rsidRPr="001F207D">
        <w:rPr>
          <w:rFonts w:ascii="Times New Roman" w:hAnsi="Times New Roman" w:cs="Times New Roman"/>
          <w:sz w:val="24"/>
          <w:szCs w:val="24"/>
        </w:rPr>
        <w:lastRenderedPageBreak/>
        <w:t>июля 2020 года N 258-ФЗ "Об экспериментальных правовых режимах в сфере цифровых инноваций в Российской Федерации".</w:t>
      </w:r>
    </w:p>
    <w:p w:rsidR="0001538A" w:rsidRPr="001F207D" w:rsidRDefault="0001538A" w:rsidP="001F207D">
      <w:pPr>
        <w:jc w:val="both"/>
        <w:rPr>
          <w:rFonts w:ascii="Times New Roman" w:hAnsi="Times New Roman" w:cs="Times New Roman"/>
          <w:sz w:val="24"/>
          <w:szCs w:val="24"/>
        </w:rPr>
      </w:pPr>
      <w:r w:rsidRPr="001F207D">
        <w:rPr>
          <w:rFonts w:ascii="Times New Roman" w:hAnsi="Times New Roman" w:cs="Times New Roman"/>
          <w:sz w:val="24"/>
          <w:szCs w:val="24"/>
        </w:rPr>
        <w:t>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A05726" w:rsidRPr="00EB68EF" w:rsidRDefault="0001538A" w:rsidP="0001538A">
      <w:pPr>
        <w:rPr>
          <w:rFonts w:ascii="Times New Roman" w:hAnsi="Times New Roman" w:cs="Times New Roman"/>
        </w:rPr>
      </w:pPr>
      <w:r w:rsidRPr="009551B6">
        <w:rPr>
          <w:rFonts w:ascii="Times New Roman" w:hAnsi="Times New Roman" w:cs="Times New Roman"/>
        </w:rPr>
        <w:t> </w:t>
      </w:r>
    </w:p>
    <w:sectPr w:rsidR="00A05726" w:rsidRPr="00EB6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8A"/>
    <w:rsid w:val="0001538A"/>
    <w:rsid w:val="001F207D"/>
    <w:rsid w:val="009551B6"/>
    <w:rsid w:val="00A05726"/>
    <w:rsid w:val="00A733D2"/>
    <w:rsid w:val="00EB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D22A7-B4FC-449D-B39C-B9B93B73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8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606">
      <w:bodyDiv w:val="1"/>
      <w:marLeft w:val="0"/>
      <w:marRight w:val="0"/>
      <w:marTop w:val="0"/>
      <w:marBottom w:val="0"/>
      <w:divBdr>
        <w:top w:val="none" w:sz="0" w:space="0" w:color="auto"/>
        <w:left w:val="none" w:sz="0" w:space="0" w:color="auto"/>
        <w:bottom w:val="none" w:sz="0" w:space="0" w:color="auto"/>
        <w:right w:val="none" w:sz="0" w:space="0" w:color="auto"/>
      </w:divBdr>
    </w:div>
    <w:div w:id="130633285">
      <w:bodyDiv w:val="1"/>
      <w:marLeft w:val="0"/>
      <w:marRight w:val="0"/>
      <w:marTop w:val="0"/>
      <w:marBottom w:val="0"/>
      <w:divBdr>
        <w:top w:val="none" w:sz="0" w:space="0" w:color="auto"/>
        <w:left w:val="none" w:sz="0" w:space="0" w:color="auto"/>
        <w:bottom w:val="none" w:sz="0" w:space="0" w:color="auto"/>
        <w:right w:val="none" w:sz="0" w:space="0" w:color="auto"/>
      </w:divBdr>
    </w:div>
    <w:div w:id="239994593">
      <w:bodyDiv w:val="1"/>
      <w:marLeft w:val="0"/>
      <w:marRight w:val="0"/>
      <w:marTop w:val="0"/>
      <w:marBottom w:val="0"/>
      <w:divBdr>
        <w:top w:val="none" w:sz="0" w:space="0" w:color="auto"/>
        <w:left w:val="none" w:sz="0" w:space="0" w:color="auto"/>
        <w:bottom w:val="none" w:sz="0" w:space="0" w:color="auto"/>
        <w:right w:val="none" w:sz="0" w:space="0" w:color="auto"/>
      </w:divBdr>
    </w:div>
    <w:div w:id="313604530">
      <w:bodyDiv w:val="1"/>
      <w:marLeft w:val="0"/>
      <w:marRight w:val="0"/>
      <w:marTop w:val="0"/>
      <w:marBottom w:val="0"/>
      <w:divBdr>
        <w:top w:val="none" w:sz="0" w:space="0" w:color="auto"/>
        <w:left w:val="none" w:sz="0" w:space="0" w:color="auto"/>
        <w:bottom w:val="none" w:sz="0" w:space="0" w:color="auto"/>
        <w:right w:val="none" w:sz="0" w:space="0" w:color="auto"/>
      </w:divBdr>
    </w:div>
    <w:div w:id="476186700">
      <w:bodyDiv w:val="1"/>
      <w:marLeft w:val="0"/>
      <w:marRight w:val="0"/>
      <w:marTop w:val="0"/>
      <w:marBottom w:val="0"/>
      <w:divBdr>
        <w:top w:val="none" w:sz="0" w:space="0" w:color="auto"/>
        <w:left w:val="none" w:sz="0" w:space="0" w:color="auto"/>
        <w:bottom w:val="none" w:sz="0" w:space="0" w:color="auto"/>
        <w:right w:val="none" w:sz="0" w:space="0" w:color="auto"/>
      </w:divBdr>
    </w:div>
    <w:div w:id="17234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4221</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Анастасия Николаевна</dc:creator>
  <cp:keywords/>
  <dc:description/>
  <cp:lastModifiedBy>Макарова Анастасия Николаевна</cp:lastModifiedBy>
  <cp:revision>2</cp:revision>
  <dcterms:created xsi:type="dcterms:W3CDTF">2024-10-11T13:02:00Z</dcterms:created>
  <dcterms:modified xsi:type="dcterms:W3CDTF">2024-10-14T13:59:00Z</dcterms:modified>
</cp:coreProperties>
</file>